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single"/>
          <w:shd w:fill="auto" w:val="clear"/>
          <w:vertAlign w:val="baseline"/>
          <w:rtl w:val="0"/>
        </w:rPr>
        <w:t xml:space="preserve">Agenda: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1. Call to Order / Roll Call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___Justin Abell ___Heather Brokel___Callie Hillman ___Bobbi Hinrichsen ___ Eddie Stevens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459.77694511413574" w:lineRule="auto"/>
        <w:ind w:left="0" w:right="1873.4271240234375"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2. (AI) Approval of Agenda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240" w:lineRule="auto"/>
        <w:ind w:left="264.0245819091797"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Motion by________________ Seconded by__________________ Board Action: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240" w:lineRule="auto"/>
        <w:ind w:left="264.0245819091797"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5126953125"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Welcome Visitors (IO)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107421875"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b w:val="1"/>
          <w:bCs w:val="1"/>
          <w:rtl w:val="0"/>
        </w:rPr>
        <w:t xml:space="preserve">. Public Comments to the Board (IO)</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board values citizen participation and provides an opportunity for public comment during the meeting. Individuals wishing to address the board must notify the superintendent prior to the meeting. Speakers will be recognized by the board president and are limited to three (3) minutes per person, with a total public comment period not to exceed thirty (30) minutes, unless extended by the board president. The board will listen to comments but will not take action on items not listed on the agenda. Comments must follow the orderly conduct of the meeting, and disruptive behavior may result in removal. Concerns regarding employees or students must follow the appropriate board complaint procedures before being brought to the board.</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5.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Board Reports (DI)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0790252685547"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Elementary Principal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0790252685547"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Secondary Principal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0790252685547"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Board Secretary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0790252685547"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Superintendent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0790252685547"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Board Members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Consent Agenda (AI)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88.6589813232422" w:right="274.84130859375" w:firstLine="41.065673828125"/>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Approval of the Consent Agenda approves all of the agenda items listed under this heading without further discussion or review. Any board member may remove any item from the Consent Agenda and that item will be considered separately after the vote on the Consent Agenda. If Board members have questions about the items on the Consent Agenda, they should ask about them prior to the meeting or ask that the specific item for which they have a question be removed from the Consent Agenda. Administration recommends that the Board approve the Consent Agenda items as listed below.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274.84130859375"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88.6589813232422" w:right="274.84130859375"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6.1.</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Minutes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88.6589813232422" w:right="274.841308593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hyperlink r:id="rId6">
        <w:r w:rsidDel="00000000" w:rsidR="00000000" w:rsidRPr="00000000">
          <w:rPr>
            <w:rFonts w:ascii="Times New Roman" w:cs="Times New Roman" w:eastAsia="Times New Roman" w:hAnsi="Times New Roman"/>
            <w:color w:val="1155cc"/>
            <w:u w:val="single"/>
            <w:rtl w:val="0"/>
          </w:rPr>
          <w:t xml:space="preserve">7.1.1. February 18, 2026 Regular Board Meeting</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872802734375" w:line="240" w:lineRule="auto"/>
        <w:ind w:left="675.0962066650391" w:right="0" w:firstLine="0"/>
        <w:jc w:val="left"/>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 7</w:t>
        </w:r>
      </w:hyperlink>
      <w:hyperlink r:id="rId8">
        <w:r w:rsidDel="00000000" w:rsidR="00000000" w:rsidRPr="00000000">
          <w:rPr>
            <w:rFonts w:ascii="Times New Roman" w:cs="Times New Roman" w:eastAsia="Times New Roman" w:hAnsi="Times New Roman"/>
            <w:color w:val="1155cc"/>
            <w:u w:val="single"/>
            <w:rtl w:val="0"/>
          </w:rPr>
          <w:t xml:space="preserve">.1.2. March 4, 2026 Work Session</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.2. Resignation</w:t>
      </w:r>
      <w:r w:rsidDel="00000000" w:rsidR="00000000" w:rsidRPr="00000000">
        <w:rPr>
          <w:rFonts w:ascii="Times New Roman" w:cs="Times New Roman" w:eastAsia="Times New Roman" w:hAnsi="Times New Roman"/>
          <w:b w:val="1"/>
          <w:bCs w:val="1"/>
          <w:rtl w:val="0"/>
        </w:rPr>
        <w:t xml:space="preserv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Mercedes Wolf - Para Professional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6.3. Staff Contract/Letter of Assignment Approvals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Travis Pike - Jr High Track</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Kylie Brokel - Volunteer Softball Coach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.4. Staff Transfer - N/A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6589813232422" w:right="0" w:firstLine="0"/>
        <w:jc w:val="left"/>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6.5</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Open Enrollment Request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(Kindergartener) in from CC</w:t>
      </w:r>
    </w:p>
    <w:p w:rsidR="00000000" w:rsidDel="00000000" w:rsidP="00000000" w:rsidRDefault="00000000" w:rsidRPr="00000000" w14:paraId="00000025">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(Kindergartener) in from NB</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 in from CC - Sport Only</w:t>
      </w:r>
    </w:p>
    <w:p w:rsidR="00000000" w:rsidDel="00000000" w:rsidP="00000000" w:rsidRDefault="00000000" w:rsidRPr="00000000" w14:paraId="00000027">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(9th Grader) in from CC</w:t>
      </w:r>
    </w:p>
    <w:p w:rsidR="00000000" w:rsidDel="00000000" w:rsidP="00000000" w:rsidRDefault="00000000" w:rsidRPr="00000000" w14:paraId="00000028">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(Kindergartener) out to NB</w:t>
      </w:r>
    </w:p>
    <w:p w:rsidR="00000000" w:rsidDel="00000000" w:rsidP="00000000" w:rsidRDefault="00000000" w:rsidRPr="00000000" w14:paraId="00000029">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(Kindergartener) out to NB</w:t>
      </w:r>
    </w:p>
    <w:p w:rsidR="00000000" w:rsidDel="00000000" w:rsidP="00000000" w:rsidRDefault="00000000" w:rsidRPr="00000000" w14:paraId="0000002A">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(3rd Grader) out to Osage</w:t>
      </w:r>
    </w:p>
    <w:p w:rsidR="00000000" w:rsidDel="00000000" w:rsidP="00000000" w:rsidRDefault="00000000" w:rsidRPr="00000000" w14:paraId="0000002B">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(3rd  Grader) out to Osage</w:t>
      </w:r>
    </w:p>
    <w:p w:rsidR="00000000" w:rsidDel="00000000" w:rsidP="00000000" w:rsidRDefault="00000000" w:rsidRPr="00000000" w14:paraId="0000002C">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(3rd Grader) out to Osage</w:t>
      </w:r>
    </w:p>
    <w:p w:rsidR="00000000" w:rsidDel="00000000" w:rsidP="00000000" w:rsidRDefault="00000000" w:rsidRPr="00000000" w14:paraId="0000002D">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(4th Grader) out to Osage</w:t>
      </w:r>
    </w:p>
    <w:p w:rsidR="00000000" w:rsidDel="00000000" w:rsidP="00000000" w:rsidRDefault="00000000" w:rsidRPr="00000000" w14:paraId="0000002E">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(4th Grader) out to SA</w:t>
      </w:r>
    </w:p>
    <w:p w:rsidR="00000000" w:rsidDel="00000000" w:rsidP="00000000" w:rsidRDefault="00000000" w:rsidRPr="00000000" w14:paraId="0000002F">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(5th Grader) out to Osage</w:t>
      </w:r>
    </w:p>
    <w:p w:rsidR="00000000" w:rsidDel="00000000" w:rsidP="00000000" w:rsidRDefault="00000000" w:rsidRPr="00000000" w14:paraId="00000030">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(6th Grader) out to MC</w:t>
      </w:r>
    </w:p>
    <w:p w:rsidR="00000000" w:rsidDel="00000000" w:rsidP="00000000" w:rsidRDefault="00000000" w:rsidRPr="00000000" w14:paraId="00000031">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(6th Grader) out to SA</w:t>
      </w:r>
    </w:p>
    <w:p w:rsidR="00000000" w:rsidDel="00000000" w:rsidP="00000000" w:rsidRDefault="00000000" w:rsidRPr="00000000" w14:paraId="00000032">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(7th Grader) out to Osage</w:t>
      </w:r>
    </w:p>
    <w:p w:rsidR="00000000" w:rsidDel="00000000" w:rsidP="00000000" w:rsidRDefault="00000000" w:rsidRPr="00000000" w14:paraId="00000033">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(8th Grader) out to MC</w:t>
      </w:r>
    </w:p>
    <w:p w:rsidR="00000000" w:rsidDel="00000000" w:rsidP="00000000" w:rsidRDefault="00000000" w:rsidRPr="00000000" w14:paraId="00000034">
      <w:pPr>
        <w:widowControl w:val="0"/>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Enrollment  (9th Grader) out to Osage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.6. Out of State / Overnight Trips </w:t>
      </w:r>
      <w:r w:rsidDel="00000000" w:rsidR="00000000" w:rsidRPr="00000000">
        <w:rPr>
          <w:rFonts w:ascii="Times New Roman" w:cs="Times New Roman" w:eastAsia="Times New Roman" w:hAnsi="Times New Roman"/>
          <w:b w:val="1"/>
          <w:bCs w:val="1"/>
          <w:rtl w:val="0"/>
        </w:rPr>
        <w:t xml:space="preserve">- N/A</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.7. Fundraisers - </w:t>
      </w:r>
      <w:r w:rsidDel="00000000" w:rsidR="00000000" w:rsidRPr="00000000">
        <w:rPr>
          <w:rFonts w:ascii="Times New Roman" w:cs="Times New Roman" w:eastAsia="Times New Roman" w:hAnsi="Times New Roman"/>
          <w:color w:val="222222"/>
          <w:highlight w:val="white"/>
          <w:rtl w:val="0"/>
        </w:rPr>
        <w:t xml:space="preserve">Kids Heart Challenge Fundraiser</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       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.8. Contracts - </w:t>
      </w: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6589813232422"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Motion by________________ Seconded by__________________ Board Action: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27294921875"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Dialogue / Action Item</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.1. Bills and Financial Reports (DI/AI)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Bills</w:t>
        </w:r>
      </w:hyperlink>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i w:val="0"/>
            <w:iCs w:val="0"/>
            <w:smallCaps w:val="0"/>
            <w:strike w:val="0"/>
            <w:color w:val="1155cc"/>
            <w:u w:val="single"/>
            <w:shd w:fill="auto" w:val="clear"/>
            <w:vertAlign w:val="baseline"/>
            <w:rtl w:val="0"/>
          </w:rPr>
          <w:t xml:space="preserve">Activity Fund Report </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i w:val="0"/>
            <w:iCs w:val="0"/>
            <w:smallCaps w:val="0"/>
            <w:strike w:val="0"/>
            <w:color w:val="1155cc"/>
            <w:u w:val="single"/>
            <w:shd w:fill="auto" w:val="clear"/>
            <w:vertAlign w:val="baseline"/>
            <w:rtl w:val="0"/>
          </w:rPr>
          <w:t xml:space="preserve">Balance Sheet </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i w:val="0"/>
            <w:iCs w:val="0"/>
            <w:smallCaps w:val="0"/>
            <w:strike w:val="0"/>
            <w:color w:val="1155cc"/>
            <w:u w:val="single"/>
            <w:shd w:fill="auto" w:val="clear"/>
            <w:vertAlign w:val="baseline"/>
            <w:rtl w:val="0"/>
          </w:rPr>
          <w:t xml:space="preserve">Revenue/Expenditure Summary </w:t>
        </w:r>
      </w:hyperlink>
      <w:hyperlink r:id="rId13">
        <w:r w:rsidDel="00000000" w:rsidR="00000000" w:rsidRPr="00000000">
          <w:rPr>
            <w:rFonts w:ascii="Times New Roman" w:cs="Times New Roman" w:eastAsia="Times New Roman" w:hAnsi="Times New Roman"/>
            <w:color w:val="1155cc"/>
            <w:u w:val="single"/>
            <w:rtl w:val="0"/>
          </w:rPr>
          <w:tab/>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i w:val="0"/>
            <w:iCs w:val="0"/>
            <w:smallCaps w:val="0"/>
            <w:strike w:val="0"/>
            <w:color w:val="1155cc"/>
            <w:u w:val="single"/>
            <w:shd w:fill="auto" w:val="clear"/>
            <w:vertAlign w:val="baseline"/>
            <w:rtl w:val="0"/>
          </w:rPr>
          <w:t xml:space="preserve">Payroll Register Totals </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i w:val="0"/>
            <w:iCs w:val="0"/>
            <w:smallCaps w:val="0"/>
            <w:strike w:val="0"/>
            <w:color w:val="1155cc"/>
            <w:u w:val="single"/>
            <w:shd w:fill="auto" w:val="clear"/>
            <w:vertAlign w:val="baseline"/>
            <w:rtl w:val="0"/>
          </w:rPr>
          <w:t xml:space="preserve">Cash Flow Report</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Motion by________________ Seconded by__________________ Board Action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Fonts w:ascii="Times New Roman" w:cs="Times New Roman" w:eastAsia="Times New Roman" w:hAnsi="Times New Roman"/>
          <w:b w:val="1"/>
          <w:bCs w:val="1"/>
          <w:rtl w:val="0"/>
        </w:rPr>
        <w:t xml:space="preserve">.2.  Termination of Shared Human Resources Agreement with Garner-Hayfield-Ventura CSD</w:t>
      </w:r>
    </w:p>
    <w:p w:rsidR="00000000" w:rsidDel="00000000" w:rsidP="00000000" w:rsidRDefault="00000000" w:rsidRPr="00000000" w14:paraId="0000004E">
      <w:pPr>
        <w:tabs>
          <w:tab w:val="left" w:leader="none" w:pos="720"/>
          <w:tab w:val="right" w:leader="none" w:pos="9900"/>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district currently participates in a shared Human Resources services agreement with the Garner-Hayfield-Ventura Community School District. After reviewing the district’s operational needs and future organizational structure, the administration believes it is appropriate to discontinue this shared arrangement.</w:t>
      </w:r>
    </w:p>
    <w:p w:rsidR="00000000" w:rsidDel="00000000" w:rsidP="00000000" w:rsidRDefault="00000000" w:rsidRPr="00000000" w14:paraId="0000004F">
      <w:pPr>
        <w:tabs>
          <w:tab w:val="left" w:leader="none" w:pos="720"/>
          <w:tab w:val="right" w:leader="none" w:pos="9900"/>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Recommendation:</w:t>
      </w:r>
      <w:r w:rsidDel="00000000" w:rsidR="00000000" w:rsidRPr="00000000">
        <w:rPr>
          <w:rFonts w:ascii="Times New Roman" w:cs="Times New Roman" w:eastAsia="Times New Roman" w:hAnsi="Times New Roman"/>
          <w:rtl w:val="0"/>
        </w:rPr>
        <w:t xml:space="preserve"> It is recommended that the board approve the termination of the Human Resources shared services agreement with the Garner-Hayfield-Ventura Community School District and direct the administration to provide the required notice in accordance with the terms of the agreement.</w:t>
      </w:r>
    </w:p>
    <w:p w:rsidR="00000000" w:rsidDel="00000000" w:rsidP="00000000" w:rsidRDefault="00000000" w:rsidRPr="00000000" w14:paraId="0000005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 </w:t>
      </w:r>
      <w:r w:rsidDel="00000000" w:rsidR="00000000" w:rsidRPr="00000000">
        <w:rPr>
          <w:rFonts w:ascii="Times New Roman" w:cs="Times New Roman" w:eastAsia="Times New Roman" w:hAnsi="Times New Roman"/>
          <w:rtl w:val="0"/>
        </w:rPr>
        <w:t xml:space="preserve">Motion by _______________    Seconded by __________________  Board Action: </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7.3. First Reading of the 600 Series </w:t>
      </w:r>
      <w:hyperlink r:id="rId16">
        <w:r w:rsidDel="00000000" w:rsidR="00000000" w:rsidRPr="00000000">
          <w:rPr>
            <w:rFonts w:ascii="Times New Roman" w:cs="Times New Roman" w:eastAsia="Times New Roman" w:hAnsi="Times New Roman"/>
            <w:b w:val="1"/>
            <w:bCs w:val="1"/>
            <w:color w:val="1155cc"/>
            <w:u w:val="single"/>
            <w:rtl w:val="0"/>
          </w:rPr>
          <w:t xml:space="preserve"> </w:t>
        </w:r>
      </w:hyperlink>
      <w:r w:rsidDel="00000000" w:rsidR="00000000" w:rsidRPr="00000000">
        <w:rPr>
          <w:rFonts w:ascii="Times New Roman" w:cs="Times New Roman" w:eastAsia="Times New Roman" w:hAnsi="Times New Roman"/>
          <w:b w:val="1"/>
          <w:bCs w:val="1"/>
          <w:rtl w:val="0"/>
        </w:rPr>
        <w:t xml:space="preserve">(DI/AI)</w:t>
      </w:r>
    </w:p>
    <w:p w:rsidR="00000000" w:rsidDel="00000000" w:rsidP="00000000" w:rsidRDefault="00000000" w:rsidRPr="00000000" w14:paraId="00000053">
      <w:pPr>
        <w:tabs>
          <w:tab w:val="left" w:leader="none" w:pos="1170"/>
          <w:tab w:val="right" w:leader="none" w:pos="990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tabs>
          <w:tab w:val="left" w:leader="none" w:pos="1170"/>
          <w:tab w:val="right" w:leader="none" w:pos="9900"/>
        </w:tabs>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Recommendation: </w:t>
      </w:r>
      <w:r w:rsidDel="00000000" w:rsidR="00000000" w:rsidRPr="00000000">
        <w:rPr>
          <w:rFonts w:ascii="Times New Roman" w:cs="Times New Roman" w:eastAsia="Times New Roman" w:hAnsi="Times New Roman"/>
          <w:rtl w:val="0"/>
        </w:rPr>
        <w:t xml:space="preserve">Move to approve the First Reading of the 600 Series board policies as presented. . </w:t>
      </w:r>
    </w:p>
    <w:p w:rsidR="00000000" w:rsidDel="00000000" w:rsidP="00000000" w:rsidRDefault="00000000" w:rsidRPr="00000000" w14:paraId="00000055">
      <w:pPr>
        <w:tabs>
          <w:tab w:val="left" w:leader="none" w:pos="1170"/>
          <w:tab w:val="right" w:leader="none" w:pos="990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Motion by________________ Seconded by__________________ Board Action:</w:t>
      </w:r>
    </w:p>
    <w:p w:rsidR="00000000" w:rsidDel="00000000" w:rsidP="00000000" w:rsidRDefault="00000000" w:rsidRPr="00000000" w14:paraId="00000057">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7.4.</w:t>
      </w:r>
      <w:r w:rsidDel="00000000" w:rsidR="00000000" w:rsidRPr="00000000">
        <w:rPr>
          <w:rFonts w:ascii="Times New Roman" w:cs="Times New Roman" w:eastAsia="Times New Roman" w:hAnsi="Times New Roman"/>
          <w:b w:val="1"/>
          <w:bCs w:val="1"/>
          <w:rtl w:val="0"/>
        </w:rPr>
        <w:t xml:space="preserve"> Board Policy 104R1 Approval (DI/AI)</w:t>
      </w:r>
      <w:r w:rsidDel="00000000" w:rsidR="00000000" w:rsidRPr="00000000">
        <w:rPr>
          <w:rtl w:val="0"/>
        </w:rPr>
      </w:r>
    </w:p>
    <w:p w:rsidR="00000000" w:rsidDel="00000000" w:rsidP="00000000" w:rsidRDefault="00000000" w:rsidRPr="00000000" w14:paraId="00000059">
      <w:pPr>
        <w:tabs>
          <w:tab w:val="left" w:leader="none" w:pos="1170"/>
          <w:tab w:val="right" w:leader="none" w:pos="9900"/>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Anti-bullying/Harassment Investigation Policy.  This policy needs to be updated yearly.</w:t>
      </w:r>
    </w:p>
    <w:p w:rsidR="00000000" w:rsidDel="00000000" w:rsidP="00000000" w:rsidRDefault="00000000" w:rsidRPr="00000000" w14:paraId="0000005A">
      <w:pPr>
        <w:tabs>
          <w:tab w:val="left" w:leader="none" w:pos="1170"/>
          <w:tab w:val="right" w:leader="none" w:pos="9900"/>
        </w:tabs>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tabs>
          <w:tab w:val="left" w:leader="none" w:pos="630"/>
          <w:tab w:val="right" w:leader="none" w:pos="9900"/>
        </w:tabs>
        <w:spacing w:line="240" w:lineRule="auto"/>
        <w:ind w:left="720" w:firstLine="0"/>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         Motion by _______________    Seconded by __________________  Board Action: </w:t>
      </w:r>
    </w:p>
    <w:p w:rsidR="00000000" w:rsidDel="00000000" w:rsidP="00000000" w:rsidRDefault="00000000" w:rsidRPr="00000000" w14:paraId="0000005C">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tabs>
          <w:tab w:val="left" w:leader="none" w:pos="1170"/>
          <w:tab w:val="right" w:leader="none" w:pos="9900"/>
        </w:tabs>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Fonts w:ascii="Times New Roman" w:cs="Times New Roman" w:eastAsia="Times New Roman" w:hAnsi="Times New Roman"/>
          <w:b w:val="1"/>
          <w:bCs w:val="1"/>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FY27 Iowa Local Government Risk Pool (LGRP) Participation Agreement.</w:t>
      </w:r>
    </w:p>
    <w:p w:rsidR="00000000" w:rsidDel="00000000" w:rsidP="00000000" w:rsidRDefault="00000000" w:rsidRPr="00000000" w14:paraId="0000005E">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district annually participates in the Iowa Local Government Risk Pool energy program to stabilize natural gas costs and protect the district from market volatility. The FY27 agreement includes participation for district meters with a total estimated premium of $30,785.50 for July 1, 2026 – June 30, 2027. </w:t>
      </w:r>
    </w:p>
    <w:p w:rsidR="00000000" w:rsidDel="00000000" w:rsidP="00000000" w:rsidRDefault="00000000" w:rsidRPr="00000000" w14:paraId="0000005F">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Recommendation:</w:t>
      </w:r>
      <w:r w:rsidDel="00000000" w:rsidR="00000000" w:rsidRPr="00000000">
        <w:rPr>
          <w:rFonts w:ascii="Times New Roman" w:cs="Times New Roman" w:eastAsia="Times New Roman" w:hAnsi="Times New Roman"/>
          <w:rtl w:val="0"/>
        </w:rPr>
        <w:t xml:space="preserve"> Move to approve the FY27 Iowa Local Government Risk Pool Participation Agreement as presented.</w:t>
      </w:r>
    </w:p>
    <w:p w:rsidR="00000000" w:rsidDel="00000000" w:rsidP="00000000" w:rsidRDefault="00000000" w:rsidRPr="00000000" w14:paraId="00000061">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tabs>
          <w:tab w:val="left" w:leader="none" w:pos="720"/>
          <w:tab w:val="right" w:leader="none" w:pos="990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63">
      <w:pPr>
        <w:tabs>
          <w:tab w:val="left" w:leader="none" w:pos="720"/>
          <w:tab w:val="right" w:leader="none" w:pos="99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 </w:t>
      </w:r>
      <w:r w:rsidDel="00000000" w:rsidR="00000000" w:rsidRPr="00000000">
        <w:rPr>
          <w:rFonts w:ascii="Times New Roman" w:cs="Times New Roman" w:eastAsia="Times New Roman" w:hAnsi="Times New Roman"/>
          <w:rtl w:val="0"/>
        </w:rPr>
        <w:t xml:space="preserve">Motion by _______________    Seconded by __________________  Board Action: </w:t>
      </w:r>
    </w:p>
    <w:p w:rsidR="00000000" w:rsidDel="00000000" w:rsidP="00000000" w:rsidRDefault="00000000" w:rsidRPr="00000000" w14:paraId="00000064">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tabs>
          <w:tab w:val="left" w:leader="none" w:pos="720"/>
          <w:tab w:val="left" w:leader="none" w:pos="1080"/>
        </w:tabs>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7.6. Services Agreement and License with RelayHub, LLC.</w:t>
      </w:r>
    </w:p>
    <w:p w:rsidR="00000000" w:rsidDel="00000000" w:rsidP="00000000" w:rsidRDefault="00000000" w:rsidRPr="00000000" w14:paraId="00000070">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RelayHub provides a software platform and support services that assist school districts with documentation and submission of Medicaid reimbursement claims for eligible student services. The agreement provides access to the Relay system for claims management, reporting, and compliance support.</w:t>
      </w:r>
    </w:p>
    <w:p w:rsidR="00000000" w:rsidDel="00000000" w:rsidP="00000000" w:rsidRDefault="00000000" w:rsidRPr="00000000" w14:paraId="00000071">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Recommendation:</w:t>
      </w:r>
      <w:r w:rsidDel="00000000" w:rsidR="00000000" w:rsidRPr="00000000">
        <w:rPr>
          <w:rFonts w:ascii="Times New Roman" w:cs="Times New Roman" w:eastAsia="Times New Roman" w:hAnsi="Times New Roman"/>
          <w:rtl w:val="0"/>
        </w:rPr>
        <w:t xml:space="preserve"> Move to approve the Services Agreement and License with RelayHub, LLC.</w:t>
      </w:r>
    </w:p>
    <w:p w:rsidR="00000000" w:rsidDel="00000000" w:rsidP="00000000" w:rsidRDefault="00000000" w:rsidRPr="00000000" w14:paraId="00000073">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tabs>
          <w:tab w:val="left" w:leader="none" w:pos="720"/>
          <w:tab w:val="right" w:leader="none" w:pos="990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 </w:t>
      </w:r>
      <w:r w:rsidDel="00000000" w:rsidR="00000000" w:rsidRPr="00000000">
        <w:rPr>
          <w:rFonts w:ascii="Times New Roman" w:cs="Times New Roman" w:eastAsia="Times New Roman" w:hAnsi="Times New Roman"/>
          <w:rtl w:val="0"/>
        </w:rPr>
        <w:t xml:space="preserve">Motion by _______________    Seconded by __________________  Board Action:   </w:t>
      </w:r>
    </w:p>
    <w:p w:rsidR="00000000" w:rsidDel="00000000" w:rsidP="00000000" w:rsidRDefault="00000000" w:rsidRPr="00000000" w14:paraId="00000075">
      <w:pPr>
        <w:tabs>
          <w:tab w:val="left" w:leader="none" w:pos="720"/>
          <w:tab w:val="right" w:leader="none" w:pos="990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6">
      <w:pPr>
        <w:tabs>
          <w:tab w:val="left" w:leader="none" w:pos="1170"/>
          <w:tab w:val="right" w:leader="none" w:pos="99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Confirm Date and Time of Next Meeting (IO)</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77">
      <w:pPr>
        <w:tabs>
          <w:tab w:val="left" w:leader="none" w:pos="720"/>
          <w:tab w:val="right" w:leader="none" w:pos="99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Public Hearing #1 (Budget Proposal): March 25, 2026 @ 5:30 PM </w:t>
      </w:r>
    </w:p>
    <w:p w:rsidR="00000000" w:rsidDel="00000000" w:rsidP="00000000" w:rsidRDefault="00000000" w:rsidRPr="00000000" w14:paraId="00000078">
      <w:pPr>
        <w:tabs>
          <w:tab w:val="left" w:leader="none" w:pos="720"/>
          <w:tab w:val="right" w:leader="none" w:pos="99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Budget Amendment  (2025-2026 School Year) April 15, 2026 @ 5:30 PM</w:t>
      </w:r>
    </w:p>
    <w:p w:rsidR="00000000" w:rsidDel="00000000" w:rsidP="00000000" w:rsidRDefault="00000000" w:rsidRPr="00000000" w14:paraId="00000079">
      <w:pPr>
        <w:tabs>
          <w:tab w:val="left" w:leader="none" w:pos="720"/>
          <w:tab w:val="right" w:leader="none" w:pos="990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Public Hearing #2 (Budget Adoption):  April 15, 2026 5:45 PM             </w:t>
      </w:r>
    </w:p>
    <w:p w:rsidR="00000000" w:rsidDel="00000000" w:rsidP="00000000" w:rsidRDefault="00000000" w:rsidRPr="00000000" w14:paraId="0000007A">
      <w:pPr>
        <w:tabs>
          <w:tab w:val="left" w:leader="none" w:pos="720"/>
          <w:tab w:val="right" w:leader="none" w:pos="990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Regular Board Meeting:  April 15, 2026 @ 6:00 PM </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Suggestions for the </w:t>
      </w:r>
      <w:r w:rsidDel="00000000" w:rsidR="00000000" w:rsidRPr="00000000">
        <w:rPr>
          <w:rFonts w:ascii="Times New Roman" w:cs="Times New Roman" w:eastAsia="Times New Roman" w:hAnsi="Times New Roman"/>
          <w:b w:val="1"/>
          <w:bCs w:val="1"/>
          <w:rtl w:val="0"/>
        </w:rPr>
        <w:t xml:space="preserve">April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Board Meeting on We</w:t>
      </w:r>
      <w:r w:rsidDel="00000000" w:rsidR="00000000" w:rsidRPr="00000000">
        <w:rPr>
          <w:rFonts w:ascii="Times New Roman" w:cs="Times New Roman" w:eastAsia="Times New Roman" w:hAnsi="Times New Roman"/>
          <w:b w:val="1"/>
          <w:bCs w:val="1"/>
          <w:rtl w:val="0"/>
        </w:rPr>
        <w:t xml:space="preserve">dnesday, April 15, 2026  @ 6:00</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rtl w:val="0"/>
        </w:rPr>
        <w:t xml:space="preserve">IO</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81396484375" w:line="689.6643447875977" w:lineRule="auto"/>
        <w:ind w:left="0" w:right="1530.0067138671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Adjournment Time:_______ </w:t>
      </w:r>
      <w:r w:rsidDel="00000000" w:rsidR="00000000" w:rsidRPr="00000000">
        <w:rPr>
          <w:rtl w:val="0"/>
        </w:rPr>
      </w:r>
    </w:p>
    <w:p w:rsidR="00000000" w:rsidDel="00000000" w:rsidP="00000000" w:rsidRDefault="00000000" w:rsidRPr="00000000" w14:paraId="0000007E">
      <w:pPr>
        <w:tabs>
          <w:tab w:val="left" w:leader="none" w:pos="720"/>
          <w:tab w:val="left" w:leader="none" w:pos="108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by________________ Seconded by__________________ Board Action:</w:t>
      </w:r>
    </w:p>
    <w:sectPr>
      <w:headerReference r:id="rId17" w:type="default"/>
      <w:pgSz w:h="15840" w:w="12240" w:orient="portrait"/>
      <w:pgMar w:bottom="1508.955078125" w:top="705.390625" w:left="1440" w:right="1426.13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spacing w:line="240" w:lineRule="auto"/>
      <w:ind w:left="1783.204574584961" w:firstLine="0"/>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409575</wp:posOffset>
          </wp:positionH>
          <wp:positionV relativeFrom="paragraph">
            <wp:posOffset>47626</wp:posOffset>
          </wp:positionV>
          <wp:extent cx="540544" cy="54054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0544" cy="540544"/>
                  </a:xfrm>
                  <a:prstGeom prst="rect"/>
                  <a:ln/>
                </pic:spPr>
              </pic:pic>
            </a:graphicData>
          </a:graphic>
        </wp:anchor>
      </w:drawing>
    </w:r>
  </w:p>
  <w:p w:rsidR="00000000" w:rsidDel="00000000" w:rsidP="00000000" w:rsidRDefault="00000000" w:rsidRPr="00000000" w14:paraId="00000080">
    <w:pPr>
      <w:widowControl w:val="0"/>
      <w:spacing w:line="240" w:lineRule="auto"/>
      <w:ind w:left="1783.204574584961"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Rudd Rockford Marble Rock CSD </w:t>
    </w:r>
  </w:p>
  <w:p w:rsidR="00000000" w:rsidDel="00000000" w:rsidP="00000000" w:rsidRDefault="00000000" w:rsidRPr="00000000" w14:paraId="00000081">
    <w:pPr>
      <w:widowControl w:val="0"/>
      <w:spacing w:before="34.185791015625" w:line="240" w:lineRule="auto"/>
      <w:ind w:left="0" w:firstLine="72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March 18, 2026 @ 5:30 p.m.  Library, Rockford IA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Vvu98zGzQrCKuzSdNlzwYelgpDuBwho6/view?usp=sharing" TargetMode="External"/><Relationship Id="rId10" Type="http://schemas.openxmlformats.org/officeDocument/2006/relationships/hyperlink" Target="https://drive.google.com/file/d/1SP4trTUqfrSH9b5MVSDSKIGccULfw1De/view?usp=sharing" TargetMode="External"/><Relationship Id="rId13" Type="http://schemas.openxmlformats.org/officeDocument/2006/relationships/hyperlink" Target="https://drive.google.com/file/d/1XcMbOUUmPAzW0OObgf8o2kJHzvqW_t2Z/view?usp=sharing" TargetMode="External"/><Relationship Id="rId12" Type="http://schemas.openxmlformats.org/officeDocument/2006/relationships/hyperlink" Target="https://drive.google.com/file/d/1XcMbOUUmPAzW0OObgf8o2kJHzvqW_t2Z/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czFj2t5TjJLJ0r6mQF6NKWlTpCPhxW0mC4xwhFu-lDU/edit?usp=sharing" TargetMode="External"/><Relationship Id="rId15" Type="http://schemas.openxmlformats.org/officeDocument/2006/relationships/hyperlink" Target="https://drive.google.com/file/d/1TzAyDjSI7mMggz2Ugmd_CV7PCDCO2Dry/view?usp=sharing" TargetMode="External"/><Relationship Id="rId14" Type="http://schemas.openxmlformats.org/officeDocument/2006/relationships/hyperlink" Target="https://drive.google.com/file/d/1JtwSO-krJ4doPfmYP-YHm5Q1QBl0d1JQ/view?usp=sharing" TargetMode="External"/><Relationship Id="rId17" Type="http://schemas.openxmlformats.org/officeDocument/2006/relationships/header" Target="header1.xml"/><Relationship Id="rId16" Type="http://schemas.openxmlformats.org/officeDocument/2006/relationships/hyperlink" Target="https://drive.google.com/file/d/1B78i2lz-nI1oU4DvOEUEOiS14986FeDD/view?usp=sharing" TargetMode="External"/><Relationship Id="rId5" Type="http://schemas.openxmlformats.org/officeDocument/2006/relationships/styles" Target="styles.xml"/><Relationship Id="rId6" Type="http://schemas.openxmlformats.org/officeDocument/2006/relationships/hyperlink" Target="https://docs.google.com/document/u/0/d/11xjC9k5ZV0ccB65xFhC9hSy4gasIyFKPcSczLaTJ07c/edit" TargetMode="External"/><Relationship Id="rId7" Type="http://schemas.openxmlformats.org/officeDocument/2006/relationships/hyperlink" Target="https://docs.google.com/document/u/0/d/1-KJOc8SC5SYx3L6MWYB_T6Qahcn-qc6uIXgeyLPUHMo/edit" TargetMode="External"/><Relationship Id="rId8" Type="http://schemas.openxmlformats.org/officeDocument/2006/relationships/hyperlink" Target="https://docs.google.com/document/u/0/d/1-KJOc8SC5SYx3L6MWYB_T6Qahcn-qc6uIXgeyLPUHMo/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